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ajorHAnsi" w:hAnsiTheme="majorHAnsi"/>
          <w:color w:val="800000"/>
          <w:sz w:val="32"/>
          <w:szCs w:val="32"/>
          <w:lang w:val="el-GR"/>
        </w:rPr>
      </w:pPr>
      <w:r>
        <w:rPr>
          <w:rFonts w:ascii="Calibri" w:hAnsi="Calibri" w:asciiTheme="majorHAnsi" w:hAnsiTheme="majorHAnsi"/>
          <w:color w:val="800000"/>
          <w:sz w:val="32"/>
          <w:szCs w:val="32"/>
          <w:lang w:val="el-GR"/>
        </w:rPr>
        <w:t>ΠΡΟΤΕΙΝΟΜΕΝΕΣ ΤΟΜΕΣ</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jc w:val="center"/>
        <w:rPr>
          <w:rFonts w:ascii="Calibri" w:hAnsi="Calibri" w:asciiTheme="majorHAnsi" w:hAnsiTheme="majorHAnsi"/>
          <w:lang w:val="el-GR"/>
        </w:rPr>
      </w:pPr>
      <w:r>
        <w:rPr>
          <w:rFonts w:ascii="Calibri" w:hAnsi="Calibri" w:asciiTheme="majorHAnsi" w:hAnsiTheme="majorHAnsi"/>
          <w:lang w:val="el-GR"/>
        </w:rPr>
        <w:t>1. Φορολογία</w:t>
      </w:r>
    </w:p>
    <w:p>
      <w:pPr>
        <w:pStyle w:val="Normal"/>
        <w:jc w:val="center"/>
        <w:rPr>
          <w:rFonts w:ascii="Calibri" w:hAnsi="Calibri" w:asciiTheme="majorHAnsi" w:hAnsiTheme="majorHAnsi"/>
          <w:i/>
          <w:i/>
          <w:lang w:val="el-GR"/>
        </w:rPr>
      </w:pPr>
      <w:bookmarkStart w:id="0" w:name="_GoBack"/>
      <w:bookmarkEnd w:id="0"/>
      <w:r>
        <w:rPr>
          <w:rFonts w:ascii="Calibri" w:hAnsi="Calibri" w:asciiTheme="majorHAnsi" w:hAnsiTheme="majorHAnsi"/>
          <w:i/>
          <w:lang w:val="el-GR"/>
        </w:rPr>
        <w:t>Μειώσεις συντελεστών</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rPr>
          <w:rFonts w:ascii="Calibri" w:hAnsi="Calibri" w:asciiTheme="majorHAnsi" w:hAnsiTheme="majorHAnsi"/>
          <w:lang w:val="el-GR"/>
        </w:rPr>
      </w:pPr>
      <w:r>
        <w:rPr>
          <w:rFonts w:ascii="Calibri" w:hAnsi="Calibri" w:asciiTheme="majorHAnsi" w:hAnsiTheme="majorHAnsi"/>
          <w:b/>
          <w:lang w:val="el-GR"/>
        </w:rPr>
        <w:t>ΦΠΑ:</w:t>
      </w:r>
      <w:r>
        <w:rPr>
          <w:rFonts w:ascii="Calibri" w:hAnsi="Calibri" w:asciiTheme="majorHAnsi" w:hAnsiTheme="majorHAnsi"/>
          <w:lang w:val="el-GR"/>
        </w:rPr>
        <w:t xml:space="preserve"> Άμεση μείωση του ανώτατου συντελεστή ΦΠΑ από 24% σε 18% για συναλλαγές σε μετρητά και 15% για ηλεκτρονικές συναλλαγές. Αντίστοιχες μειώσεις των χαμηλότερων συντελεστών. Υποχρεωτικά ηλεκτρονικές όλες οι συναλλαγές για ποσά άνω των €100. </w:t>
      </w:r>
    </w:p>
    <w:p>
      <w:pPr>
        <w:pStyle w:val="Normal"/>
        <w:rPr>
          <w:rFonts w:ascii="Calibri" w:hAnsi="Calibri" w:asciiTheme="majorHAnsi" w:hAnsiTheme="majorHAnsi"/>
          <w:b/>
          <w:b/>
          <w:lang w:val="el-GR"/>
        </w:rPr>
      </w:pPr>
      <w:r>
        <w:rPr>
          <w:rFonts w:asciiTheme="majorHAnsi" w:hAnsiTheme="majorHAnsi" w:ascii="Calibri" w:hAnsi="Calibri"/>
          <w:b/>
          <w:lang w:val="el-GR"/>
        </w:rPr>
      </w:r>
    </w:p>
    <w:p>
      <w:pPr>
        <w:pStyle w:val="Normal"/>
        <w:rPr>
          <w:rFonts w:ascii="Calibri" w:hAnsi="Calibri" w:asciiTheme="majorHAnsi" w:hAnsiTheme="majorHAnsi"/>
          <w:lang w:val="el-GR"/>
        </w:rPr>
      </w:pPr>
      <w:r>
        <w:rPr>
          <w:rFonts w:ascii="Calibri" w:hAnsi="Calibri" w:asciiTheme="majorHAnsi" w:hAnsiTheme="majorHAnsi"/>
          <w:b/>
          <w:lang w:val="el-GR"/>
        </w:rPr>
        <w:t>Φόρος επιχειρήσεων:</w:t>
      </w:r>
      <w:r>
        <w:rPr>
          <w:rFonts w:ascii="Calibri" w:hAnsi="Calibri" w:asciiTheme="majorHAnsi" w:hAnsiTheme="majorHAnsi"/>
          <w:lang w:val="el-GR"/>
        </w:rPr>
        <w:t xml:space="preserve"> Άμεση μείωση του συντελεστή από 29% σε μια συνεχή γκάμα από 15% έως 20% ανάλογα με τον τζίρο της επιχείρησης (χωρίς σκαλοπάτι από το 15% στο 20% αλλά στην βάση μιας συνεχούς συνάρτησης που συνδέει τα έσοδα με το ποσοστό φόρου που καταβάλει η επιχείρηση). Επί πλέον, κατάργηση της προπληρωμής φόρου εντός τριετίας, με άμεση μείωση του ποσοστού στο 30% την πρώτη χρονιά, στο 15% την δεύτερη και το 0% κατόπιν.</w:t>
      </w:r>
    </w:p>
    <w:p>
      <w:pPr>
        <w:pStyle w:val="Normal"/>
        <w:rPr>
          <w:rFonts w:ascii="Calibri" w:hAnsi="Calibri" w:asciiTheme="majorHAnsi" w:hAnsiTheme="majorHAnsi"/>
          <w:b/>
          <w:b/>
          <w:lang w:val="el-GR"/>
        </w:rPr>
      </w:pPr>
      <w:r>
        <w:rPr>
          <w:rFonts w:asciiTheme="majorHAnsi" w:hAnsiTheme="majorHAnsi" w:ascii="Calibri" w:hAnsi="Calibri"/>
          <w:b/>
          <w:lang w:val="el-GR"/>
        </w:rPr>
      </w:r>
    </w:p>
    <w:p>
      <w:pPr>
        <w:pStyle w:val="Normal"/>
        <w:rPr>
          <w:rFonts w:ascii="Calibri" w:hAnsi="Calibri" w:asciiTheme="majorHAnsi" w:hAnsiTheme="majorHAnsi"/>
          <w:lang w:val="el-GR"/>
        </w:rPr>
      </w:pPr>
      <w:r>
        <w:rPr>
          <w:rFonts w:ascii="Calibri" w:hAnsi="Calibri" w:asciiTheme="majorHAnsi" w:hAnsiTheme="majorHAnsi"/>
          <w:b/>
          <w:lang w:val="el-GR"/>
        </w:rPr>
        <w:t>Φόρος εισοδημάτων:</w:t>
      </w:r>
      <w:r>
        <w:rPr>
          <w:rFonts w:ascii="Calibri" w:hAnsi="Calibri" w:asciiTheme="majorHAnsi" w:hAnsiTheme="majorHAnsi"/>
          <w:lang w:val="el-GR"/>
        </w:rPr>
        <w:t xml:space="preserve"> Διατήρηση του αφορολόγητου ορίου και αντικατάσταση των «σκαλοπατιών» από μια συνεχή συνάρτηση που συνδέει το εισόδημα με το ποσοστό φόρου που καταβάλει ο φορολογούμενος έτσι ώστε, στην πράξη, να επέλθει μείωση των συντελεστών για εισοδήματα από 12.000 έως 15.000, κατάργηση της εισφοράς αλληλεγγύης για εισοδήματα κάτω των 20.000 και παράλληλη αύξηση των συντελεστών για εισοδήματα άνω των 30.000. </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jc w:val="center"/>
        <w:rPr>
          <w:rFonts w:ascii="Calibri" w:hAnsi="Calibri" w:asciiTheme="majorHAnsi" w:hAnsiTheme="majorHAnsi"/>
          <w:lang w:val="el-GR"/>
        </w:rPr>
      </w:pPr>
      <w:r>
        <w:rPr>
          <w:rFonts w:ascii="Calibri" w:hAnsi="Calibri" w:asciiTheme="majorHAnsi" w:hAnsiTheme="majorHAnsi"/>
          <w:lang w:val="el-GR"/>
        </w:rPr>
        <w:t>2. Δημοσιονομικός στόχος</w:t>
      </w:r>
    </w:p>
    <w:p>
      <w:pPr>
        <w:pStyle w:val="Normal"/>
        <w:jc w:val="center"/>
        <w:rPr>
          <w:rFonts w:ascii="Calibri" w:hAnsi="Calibri" w:asciiTheme="majorHAnsi" w:hAnsiTheme="majorHAnsi"/>
          <w:i/>
          <w:i/>
          <w:lang w:val="el-GR"/>
        </w:rPr>
      </w:pPr>
      <w:r>
        <w:rPr>
          <w:rFonts w:ascii="Calibri" w:hAnsi="Calibri" w:asciiTheme="majorHAnsi" w:hAnsiTheme="majorHAnsi"/>
          <w:i/>
          <w:lang w:val="el-GR"/>
        </w:rPr>
        <w:t>Ταυτόχρονη ακύρωση της λιτότητας και των ελλειμμάτων με αντίστοιχη αναδιάρθρωση δημόσιου χρέους</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rPr>
          <w:rFonts w:ascii="Calibri" w:hAnsi="Calibri" w:asciiTheme="majorHAnsi" w:hAnsiTheme="majorHAnsi"/>
          <w:lang w:val="el-GR"/>
        </w:rPr>
      </w:pPr>
      <w:r>
        <w:rPr>
          <w:rFonts w:ascii="Calibri" w:hAnsi="Calibri" w:asciiTheme="majorHAnsi" w:hAnsiTheme="majorHAnsi"/>
          <w:lang w:val="el-GR"/>
        </w:rPr>
        <w:t xml:space="preserve">Ο στόχος του πρωτογενούς πλεονάσματος του κρατικού προϋπολογισμού είναι το κλειδί του δημοσιονομικού προβλήματος και της ύφεσης. </w:t>
      </w:r>
      <w:r>
        <w:rPr>
          <w:rFonts w:ascii="Calibri" w:hAnsi="Calibri" w:asciiTheme="majorHAnsi" w:hAnsiTheme="majorHAnsi"/>
          <w:b/>
          <w:i/>
          <w:lang w:val="el-GR"/>
        </w:rPr>
        <w:t xml:space="preserve">Διαχρονικός στόχος πρέπει να είναι ένα πρωτογενές πλεόνασμα της τάξης του 1% με 1,5% του εθνικού εισοδήματος. </w:t>
      </w:r>
      <w:r>
        <w:rPr>
          <w:rFonts w:ascii="Calibri" w:hAnsi="Calibri" w:asciiTheme="majorHAnsi" w:hAnsiTheme="majorHAnsi"/>
          <w:u w:val="single"/>
          <w:lang w:val="el-GR"/>
        </w:rPr>
        <w:t>Χαμηλότερος στόχος</w:t>
      </w:r>
      <w:r>
        <w:rPr>
          <w:rFonts w:ascii="Calibri" w:hAnsi="Calibri" w:asciiTheme="majorHAnsi" w:hAnsiTheme="majorHAnsi"/>
          <w:lang w:val="el-GR"/>
        </w:rPr>
        <w:t xml:space="preserve"> εγκυμονεί τον κίνδυνο της επιστροφής σε ελλειμματικούς προϋπολογισμούς και </w:t>
      </w:r>
      <w:r>
        <w:rPr>
          <w:rFonts w:ascii="Calibri" w:hAnsi="Calibri" w:asciiTheme="majorHAnsi" w:hAnsiTheme="majorHAnsi"/>
          <w:u w:val="single"/>
          <w:lang w:val="el-GR"/>
        </w:rPr>
        <w:t>ανάγκη νέου δανεισμού</w:t>
      </w:r>
      <w:r>
        <w:rPr>
          <w:rFonts w:ascii="Calibri" w:hAnsi="Calibri" w:asciiTheme="majorHAnsi" w:hAnsiTheme="majorHAnsi"/>
          <w:lang w:val="el-GR"/>
        </w:rPr>
        <w:t xml:space="preserve"> για την κάλυψη των δαπανών του κράτους. </w:t>
      </w:r>
      <w:r>
        <w:rPr>
          <w:rFonts w:ascii="Calibri" w:hAnsi="Calibri" w:asciiTheme="majorHAnsi" w:hAnsiTheme="majorHAnsi"/>
          <w:u w:val="single"/>
          <w:lang w:val="el-GR"/>
        </w:rPr>
        <w:t>Υψηλότερος στόχος</w:t>
      </w:r>
      <w:r>
        <w:rPr>
          <w:rFonts w:ascii="Calibri" w:hAnsi="Calibri" w:asciiTheme="majorHAnsi" w:hAnsiTheme="majorHAnsi"/>
          <w:lang w:val="el-GR"/>
        </w:rPr>
        <w:t xml:space="preserve"> σηματοδοτεί λιτότητα που </w:t>
      </w:r>
      <w:r>
        <w:rPr>
          <w:rFonts w:ascii="Calibri" w:hAnsi="Calibri" w:asciiTheme="majorHAnsi" w:hAnsiTheme="majorHAnsi"/>
          <w:u w:val="single"/>
          <w:lang w:val="el-GR"/>
        </w:rPr>
        <w:t>συρρικνώνει</w:t>
      </w:r>
      <w:r>
        <w:rPr>
          <w:rFonts w:ascii="Calibri" w:hAnsi="Calibri" w:asciiTheme="majorHAnsi" w:hAnsiTheme="majorHAnsi"/>
          <w:lang w:val="el-GR"/>
        </w:rPr>
        <w:t xml:space="preserve"> περαιτέρω </w:t>
      </w:r>
      <w:r>
        <w:rPr>
          <w:rFonts w:ascii="Calibri" w:hAnsi="Calibri" w:asciiTheme="majorHAnsi" w:hAnsiTheme="majorHAnsi"/>
          <w:u w:val="single"/>
          <w:lang w:val="el-GR"/>
        </w:rPr>
        <w:t>την συνολική ζήτηση και</w:t>
      </w:r>
      <w:r>
        <w:rPr>
          <w:rFonts w:ascii="Calibri" w:hAnsi="Calibri" w:asciiTheme="majorHAnsi" w:hAnsiTheme="majorHAnsi"/>
          <w:lang w:val="el-GR"/>
        </w:rPr>
        <w:t xml:space="preserve"> σκοτώνει τις </w:t>
      </w:r>
      <w:r>
        <w:rPr>
          <w:rFonts w:ascii="Calibri" w:hAnsi="Calibri" w:asciiTheme="majorHAnsi" w:hAnsiTheme="majorHAnsi"/>
          <w:u w:val="single"/>
          <w:lang w:val="el-GR"/>
        </w:rPr>
        <w:t>επενδύσεις</w:t>
      </w:r>
      <w:r>
        <w:rPr>
          <w:rFonts w:ascii="Calibri" w:hAnsi="Calibri" w:asciiTheme="majorHAnsi" w:hAnsiTheme="majorHAnsi"/>
          <w:lang w:val="el-GR"/>
        </w:rPr>
        <w:t>.</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rPr>
          <w:rFonts w:ascii="Calibri" w:hAnsi="Calibri" w:asciiTheme="majorHAnsi" w:hAnsiTheme="majorHAnsi"/>
          <w:lang w:val="el-GR"/>
        </w:rPr>
      </w:pPr>
      <w:r>
        <w:rPr>
          <w:rFonts w:ascii="Calibri" w:hAnsi="Calibri" w:asciiTheme="majorHAnsi" w:hAnsiTheme="majorHAnsi"/>
          <w:lang w:val="el-GR"/>
        </w:rPr>
        <w:t xml:space="preserve">Όπως τα φορολογικά έσοδα αυξάνουν ως αποτέλεσμα της μείωσης των φορολογικών συντελεστών (ιδίως εν μέσω κρίσης) έτσι και το πρωτογενές πλεόνασμα (σε ευρώ) του κρατικού προϋπολογισμού θα μεγιστοποιηθεί εφόσον ο στόχος (πρωτογενούς πλεονάσματος ως ποσοστό του ΑΕΠ) μειωθεί από το 3,5% στο 1% με 1,5% του εθνικού εισοδήματος. Έτσι, θα βελτιωθεί η δυνατότητα του ελληνικού δημοσίου να αποπληρώνει τους δανειστές. Σε αυτό το πλαίσιο απαιτείται δέσμευση ότι οι ετήσιες αποπληρωμές του εξωτερικού, «επίσημου» δημόσιου χρέους (προς τον </w:t>
      </w:r>
      <w:r>
        <w:rPr>
          <w:rFonts w:ascii="Calibri" w:hAnsi="Calibri" w:asciiTheme="majorHAnsi" w:hAnsiTheme="majorHAnsi"/>
        </w:rPr>
        <w:t xml:space="preserve">ESM-EFSF, </w:t>
      </w:r>
      <w:r>
        <w:rPr>
          <w:rFonts w:ascii="Calibri" w:hAnsi="Calibri" w:asciiTheme="majorHAnsi" w:hAnsiTheme="majorHAnsi"/>
          <w:lang w:val="el-GR"/>
        </w:rPr>
        <w:t>την ΕΚΤ και το ΔΝΤ)</w:t>
      </w:r>
      <w:r>
        <w:rPr>
          <w:rFonts w:ascii="Calibri" w:hAnsi="Calibri" w:asciiTheme="majorHAnsi" w:hAnsiTheme="majorHAnsi"/>
        </w:rPr>
        <w:t xml:space="preserve"> </w:t>
      </w:r>
      <w:r>
        <w:rPr>
          <w:rFonts w:ascii="Calibri" w:hAnsi="Calibri" w:asciiTheme="majorHAnsi" w:hAnsiTheme="majorHAnsi"/>
          <w:lang w:val="el-GR"/>
        </w:rPr>
        <w:t xml:space="preserve">θα κυμαίνονται στο 1% με 1,5% του εθνικού εισοδήματος – κάτι που θα επιτευχθεί με την ανταλλαγή των παλαιότερων ομολόγων/υποσχετικών με νέα ομόλογα του ελληνικού δημοσίου των οποίων τα λεγόμενα </w:t>
      </w:r>
      <w:r>
        <w:rPr>
          <w:rFonts w:ascii="Calibri" w:hAnsi="Calibri" w:asciiTheme="majorHAnsi" w:hAnsiTheme="majorHAnsi"/>
        </w:rPr>
        <w:t xml:space="preserve">coupons </w:t>
      </w:r>
      <w:r>
        <w:rPr>
          <w:rFonts w:ascii="Calibri" w:hAnsi="Calibri" w:asciiTheme="majorHAnsi" w:hAnsiTheme="majorHAnsi"/>
          <w:lang w:val="el-GR"/>
        </w:rPr>
        <w:t xml:space="preserve">θα προσδιορίζονται από τον δημοσιονομικό στόχο πρωτογενούς πλεονάσματος περί το 1% με 1,5% του ΑΕΠ. </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rPr>
          <w:rFonts w:ascii="Calibri" w:hAnsi="Calibri" w:asciiTheme="majorHAnsi" w:hAnsiTheme="majorHAnsi"/>
          <w:lang w:val="el-GR"/>
        </w:rPr>
      </w:pPr>
      <w:r>
        <w:rPr>
          <w:rFonts w:ascii="Calibri" w:hAnsi="Calibri" w:asciiTheme="majorHAnsi" w:hAnsiTheme="majorHAnsi"/>
          <w:lang w:val="el-GR"/>
        </w:rPr>
        <w:t xml:space="preserve">Έτσι, οι δανειστές της χώρας θα εισπράττουν περισσότερα, όσο γρηγορότερα αυξάνεται το εθνικό εισόδημα και, κατ’ ελάχιστον, ποσό ανάλογο με το βέλτιστο ποσοστό πρωτογενούς πλεονάσματος που μπορεί να παραγάγει η ανακάμπτουσα ελληνική οικονομία. </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jc w:val="center"/>
        <w:rPr>
          <w:rFonts w:ascii="Calibri" w:hAnsi="Calibri" w:asciiTheme="majorHAnsi" w:hAnsiTheme="majorHAnsi"/>
          <w:lang w:val="el-GR"/>
        </w:rPr>
      </w:pPr>
      <w:r>
        <w:rPr>
          <w:rFonts w:ascii="Calibri" w:hAnsi="Calibri" w:asciiTheme="majorHAnsi" w:hAnsiTheme="majorHAnsi"/>
          <w:lang w:val="el-GR"/>
        </w:rPr>
        <w:t>3. Δημόσιο Εξωτραπεζικό Σύστημα Πληρωμών (ΔΕΣΠ)</w:t>
      </w:r>
    </w:p>
    <w:p>
      <w:pPr>
        <w:pStyle w:val="Normal"/>
        <w:jc w:val="center"/>
        <w:rPr>
          <w:rFonts w:ascii="Calibri" w:hAnsi="Calibri" w:asciiTheme="majorHAnsi" w:hAnsiTheme="majorHAnsi"/>
          <w:i/>
          <w:i/>
          <w:lang w:val="el-GR"/>
        </w:rPr>
      </w:pPr>
      <w:r>
        <w:rPr>
          <w:rFonts w:ascii="Calibri" w:hAnsi="Calibri" w:asciiTheme="majorHAnsi" w:hAnsiTheme="majorHAnsi"/>
          <w:i/>
          <w:lang w:val="el-GR"/>
        </w:rPr>
        <w:t>Σύστημα πολύπλευρης ακύρωσης ληξιπρόθεσμων οφειλών &amp; εξωτραπεζικών πληρωμών – πρόγραμμα καταπολέμισης φτώχειας και κοινωνικού αποκλεισμού</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rPr>
          <w:rFonts w:ascii="Calibri" w:hAnsi="Calibri" w:asciiTheme="majorHAnsi" w:hAnsiTheme="majorHAnsi"/>
          <w:iCs/>
          <w:lang w:val="el-GR"/>
        </w:rPr>
      </w:pPr>
      <w:r>
        <w:rPr>
          <w:rFonts w:ascii="Calibri" w:hAnsi="Calibri" w:asciiTheme="majorHAnsi" w:hAnsiTheme="majorHAnsi"/>
          <w:iCs/>
          <w:lang w:val="el-GR"/>
        </w:rPr>
        <w:t xml:space="preserve">Όλοι χρωστούν σε όλους και κανείς δεν μπορεί να πληρώσει. Όταν όλοι χρωστάμε σε όλους και όλοι μαζί στο κράτος, τότε η λύση δεν είναι ούτε να δανειστούμε όλοι ξανά ούτε βέβαια και να διατηρηθούν τα ληξιπρόθεσμα χρέη μας προς το κράτος. Λύση είναι η πολύπλευρη ακύρωση των μεταξύ μας ληξιπρόθεσμων οφειλών. Όμως αυτό απαιτεί ένα νέο εξωτραπεζικό σύστημα πληρωμών. </w:t>
      </w:r>
    </w:p>
    <w:p>
      <w:pPr>
        <w:pStyle w:val="Normal"/>
        <w:rPr>
          <w:rFonts w:ascii="Calibri" w:hAnsi="Calibri" w:asciiTheme="majorHAnsi" w:hAnsiTheme="majorHAnsi"/>
          <w:iCs/>
          <w:lang w:val="el-GR"/>
        </w:rPr>
      </w:pPr>
      <w:r>
        <w:rPr>
          <w:rFonts w:asciiTheme="majorHAnsi" w:hAnsiTheme="majorHAnsi" w:ascii="Calibri" w:hAnsi="Calibri"/>
          <w:iCs/>
          <w:lang w:val="el-GR"/>
        </w:rPr>
      </w:r>
    </w:p>
    <w:p>
      <w:pPr>
        <w:pStyle w:val="Normal"/>
        <w:rPr>
          <w:rFonts w:ascii="Calibri" w:hAnsi="Calibri" w:asciiTheme="majorHAnsi" w:hAnsiTheme="majorHAnsi"/>
          <w:iCs/>
          <w:lang w:val="el-GR"/>
        </w:rPr>
      </w:pPr>
      <w:r>
        <w:rPr>
          <w:rFonts w:ascii="Calibri" w:hAnsi="Calibri" w:asciiTheme="majorHAnsi" w:hAnsiTheme="majorHAnsi"/>
          <w:iCs/>
          <w:lang w:val="el-GR"/>
        </w:rPr>
        <w:t>Είναι γεγονός ότι η γενικευμένη έλλειψη ρευστότητας οδήγησε στις ταυτόχρονες, συνεχείς ληξιπρόθεσμες οφειλές του κράτους προς ιδιώτες, των ιδιωτών προς το κράτος, και των ιδιωτών μεταξύ τους. Η αποτελεσματική αντιμετώπιση του προβλήματος περιλαμβάνει την δημιουργία ενός αποθεματικού-</w:t>
      </w:r>
      <w:r>
        <w:rPr>
          <w:rFonts w:eastAsia="Times New Roman" w:cs="Times New Roman" w:ascii="Calibri" w:hAnsi="Calibri" w:asciiTheme="majorHAnsi" w:hAnsiTheme="majorHAnsi"/>
          <w:lang w:val="el-GR"/>
        </w:rPr>
        <w:t xml:space="preserve">χρεωστικού λογαριασμού στο </w:t>
      </w:r>
      <w:r>
        <w:rPr>
          <w:rFonts w:eastAsia="Times New Roman" w:cs="Times New Roman" w:ascii="Calibri" w:hAnsi="Calibri" w:asciiTheme="majorHAnsi" w:hAnsiTheme="majorHAnsi"/>
        </w:rPr>
        <w:t>TAXISnet</w:t>
      </w:r>
      <w:r>
        <w:rPr>
          <w:rFonts w:eastAsia="Times New Roman" w:cs="Times New Roman" w:ascii="Calibri" w:hAnsi="Calibri" w:asciiTheme="majorHAnsi" w:hAnsiTheme="majorHAnsi"/>
          <w:lang w:val="el-GR"/>
        </w:rPr>
        <w:t xml:space="preserve"> για κάθε ΑΦΜ (ο κάτοχος του οποίου εφοδιάζεται με </w:t>
      </w:r>
      <w:r>
        <w:rPr>
          <w:rFonts w:eastAsia="Times New Roman" w:cs="Times New Roman" w:ascii="Calibri" w:hAnsi="Calibri" w:asciiTheme="majorHAnsi" w:hAnsiTheme="majorHAnsi"/>
        </w:rPr>
        <w:t xml:space="preserve">PIN </w:t>
      </w:r>
      <w:r>
        <w:rPr>
          <w:rFonts w:eastAsia="Times New Roman" w:cs="Times New Roman" w:ascii="Calibri" w:hAnsi="Calibri" w:asciiTheme="majorHAnsi" w:hAnsiTheme="majorHAnsi"/>
          <w:lang w:val="el-GR"/>
        </w:rPr>
        <w:t xml:space="preserve">για να μεταφέρει κατά το δοκούν πιστώσεις σε άλλα ΑΦΜ ή προς το κράτος).  </w:t>
      </w:r>
    </w:p>
    <w:p>
      <w:pPr>
        <w:pStyle w:val="Normal"/>
        <w:rPr>
          <w:rFonts w:ascii="Calibri" w:hAnsi="Calibri" w:eastAsia="Times New Roman" w:cs="Times New Roman" w:asciiTheme="majorHAnsi" w:hAnsiTheme="majorHAnsi"/>
          <w:lang w:val="el-GR"/>
        </w:rPr>
      </w:pPr>
      <w:r>
        <w:rPr>
          <w:rFonts w:eastAsia="Times New Roman" w:cs="Times New Roman" w:ascii="Calibri" w:hAnsi="Calibri"/>
          <w:lang w:val="el-GR"/>
        </w:rPr>
      </w:r>
    </w:p>
    <w:p>
      <w:pPr>
        <w:pStyle w:val="Normal"/>
        <w:rPr>
          <w:rFonts w:ascii="Calibri" w:hAnsi="Calibri" w:eastAsia="Times New Roman" w:cs="Times New Roman" w:asciiTheme="majorHAnsi" w:hAnsiTheme="majorHAnsi"/>
          <w:lang w:val="el-GR"/>
        </w:rPr>
      </w:pPr>
      <w:r>
        <w:rPr>
          <w:rFonts w:eastAsia="Times New Roman" w:cs="Times New Roman" w:ascii="Calibri" w:hAnsi="Calibri" w:asciiTheme="majorHAnsi" w:hAnsiTheme="majorHAnsi"/>
          <w:lang w:val="el-GR"/>
        </w:rPr>
        <w:t xml:space="preserve">Είναι τεχνικά απλό ζήτημα να καταβάλει το Δημόσιο μέρος των οφειλών του προς τους ιδιώτες (μετά από αίτηση των ιδιωτών) σε αυτούς τους λογαριασμούς από τους οποίους οι τελευταίοι θα δύνανται να αποπληρώνουν τις μεταξύ τους οφειλές, καθώς και τις οφειλές τους προς το Δημόσιο. </w:t>
      </w:r>
    </w:p>
    <w:p>
      <w:pPr>
        <w:pStyle w:val="Normal"/>
        <w:rPr>
          <w:rFonts w:ascii="Calibri" w:hAnsi="Calibri" w:eastAsia="Times New Roman" w:cs="Times New Roman" w:asciiTheme="majorHAnsi" w:hAnsiTheme="majorHAnsi"/>
          <w:lang w:val="el-GR"/>
        </w:rPr>
      </w:pPr>
      <w:r>
        <w:rPr>
          <w:rFonts w:eastAsia="Times New Roman" w:cs="Times New Roman" w:ascii="Calibri" w:hAnsi="Calibri"/>
          <w:lang w:val="el-GR"/>
        </w:rPr>
      </w:r>
    </w:p>
    <w:p>
      <w:pPr>
        <w:pStyle w:val="Normal"/>
        <w:rPr>
          <w:rFonts w:ascii="Calibri" w:hAnsi="Calibri" w:eastAsia="Times New Roman" w:cs="Times New Roman" w:asciiTheme="majorHAnsi" w:hAnsiTheme="majorHAnsi"/>
          <w:lang w:val="el-GR"/>
        </w:rPr>
      </w:pPr>
      <w:r>
        <w:rPr>
          <w:rFonts w:eastAsia="Times New Roman" w:cs="Times New Roman" w:ascii="Calibri" w:hAnsi="Calibri" w:asciiTheme="majorHAnsi" w:hAnsiTheme="majorHAnsi"/>
          <w:lang w:val="el-GR"/>
        </w:rPr>
        <w:t xml:space="preserve">Οι συναλλαγές αυτές θα γίνονται τόσο μέσω του Διαδικτύου, με απλές εφαρμογές κινητών τηλεφώνων και, εν δυνάμει, με νέου τύπου πλαστικές κάρτες έκδοσης του ελληνικού δημοσίου που θα μοιάζουν με τις χρεωστικές τραπεζικές κάρτες και θα μπορούν να χρησιμοποιούνται με τον ίδιο τρόπο (και με δυνατότητα χρήσης σε </w:t>
      </w:r>
      <w:r>
        <w:rPr>
          <w:rFonts w:eastAsia="Times New Roman" w:cs="Times New Roman" w:ascii="Calibri" w:hAnsi="Calibri" w:asciiTheme="majorHAnsi" w:hAnsiTheme="majorHAnsi"/>
        </w:rPr>
        <w:t xml:space="preserve">POS, </w:t>
      </w:r>
      <w:r>
        <w:rPr>
          <w:rFonts w:eastAsia="Times New Roman" w:cs="Times New Roman" w:ascii="Calibri" w:hAnsi="Calibri" w:asciiTheme="majorHAnsi" w:hAnsiTheme="majorHAnsi"/>
          <w:lang w:val="el-GR"/>
        </w:rPr>
        <w:t xml:space="preserve"> στο ΕΣΥ, στο πλαίσιο των ασφαλιστικών ταμείων κλπ).</w:t>
      </w:r>
    </w:p>
    <w:p>
      <w:pPr>
        <w:pStyle w:val="Normal"/>
        <w:rPr>
          <w:rFonts w:ascii="Calibri" w:hAnsi="Calibri" w:eastAsia="Times New Roman" w:cs="Times New Roman" w:asciiTheme="majorHAnsi" w:hAnsiTheme="majorHAnsi"/>
          <w:lang w:val="el-GR"/>
        </w:rPr>
      </w:pPr>
      <w:r>
        <w:rPr>
          <w:rFonts w:eastAsia="Times New Roman" w:cs="Times New Roman" w:ascii="Calibri" w:hAnsi="Calibri"/>
          <w:lang w:val="el-GR"/>
        </w:rPr>
      </w:r>
    </w:p>
    <w:p>
      <w:pPr>
        <w:pStyle w:val="Normal"/>
        <w:rPr>
          <w:rFonts w:ascii="Calibri" w:hAnsi="Calibri" w:eastAsia="Times New Roman" w:cs="Times New Roman" w:asciiTheme="majorHAnsi" w:hAnsiTheme="majorHAnsi"/>
          <w:lang w:val="el-GR"/>
        </w:rPr>
      </w:pPr>
      <w:r>
        <w:rPr>
          <w:rFonts w:eastAsia="Times New Roman" w:cs="Times New Roman" w:ascii="Calibri" w:hAnsi="Calibri" w:asciiTheme="majorHAnsi" w:hAnsiTheme="majorHAnsi"/>
          <w:lang w:val="el-GR"/>
        </w:rPr>
        <w:t xml:space="preserve">Οι κάρτες του ΔΕΣΠ θα μπορούν να χρησιμοποιούνται στο πλαίσιο προγράμματος καταπολέμησης της φτώχειας και του κοινωνικού αποκλεισμού με έκδοση καρτών πιστωτικού υπολοίπου προς οικογένειες και πολίτες που πληρούν τα σχετικά κριτήρια με συγκεκριμένα ποσά τα οποία θα γίνονται αποδεκτά από σούπερμαρκετ, ΔΕΗ κλπ μετά από συμφωνία με το κράτος (καθώς αυτές οι πιστώσεις, αφού μεταβιβαστούν στις συμβεβλημένες εταιρείες, θα αποσβαίνουν οφειλές τους στην Εφορία). </w:t>
      </w:r>
    </w:p>
    <w:p>
      <w:pPr>
        <w:pStyle w:val="Normal"/>
        <w:rPr>
          <w:rFonts w:ascii="Calibri" w:hAnsi="Calibri" w:eastAsia="Times New Roman" w:cs="Times New Roman" w:asciiTheme="majorHAnsi" w:hAnsiTheme="majorHAnsi"/>
          <w:lang w:val="el-GR"/>
        </w:rPr>
      </w:pPr>
      <w:r>
        <w:rPr>
          <w:rFonts w:eastAsia="Times New Roman" w:cs="Times New Roman" w:ascii="Calibri" w:hAnsi="Calibri"/>
          <w:lang w:val="el-GR"/>
        </w:rPr>
      </w:r>
    </w:p>
    <w:p>
      <w:pPr>
        <w:pStyle w:val="Normal"/>
        <w:jc w:val="center"/>
        <w:rPr>
          <w:rFonts w:ascii="Calibri" w:hAnsi="Calibri" w:asciiTheme="majorHAnsi" w:hAnsiTheme="majorHAnsi"/>
          <w:lang w:val="el-GR"/>
        </w:rPr>
      </w:pPr>
      <w:r>
        <w:rPr>
          <w:rFonts w:ascii="Calibri" w:hAnsi="Calibri" w:asciiTheme="majorHAnsi" w:hAnsiTheme="majorHAnsi"/>
          <w:lang w:val="el-GR"/>
        </w:rPr>
        <w:t>4. Κόκκινα δάνεια</w:t>
      </w:r>
    </w:p>
    <w:p>
      <w:pPr>
        <w:pStyle w:val="Normal"/>
        <w:jc w:val="center"/>
        <w:rPr>
          <w:rFonts w:ascii="Calibri" w:hAnsi="Calibri" w:asciiTheme="majorHAnsi" w:hAnsiTheme="majorHAnsi"/>
          <w:i/>
          <w:i/>
          <w:lang w:val="el-GR"/>
        </w:rPr>
      </w:pPr>
      <w:r>
        <w:rPr>
          <w:rFonts w:ascii="Calibri" w:hAnsi="Calibri" w:asciiTheme="majorHAnsi" w:hAnsiTheme="majorHAnsi"/>
          <w:i/>
          <w:lang w:val="el-GR"/>
        </w:rPr>
        <w:t>Δημόσια εταιρεία διαχείρισης μη βιώσιμων ιδιωτικών χρεών – μορατόριουμ στους πλειστηριασμούς</w:t>
      </w:r>
    </w:p>
    <w:p>
      <w:pPr>
        <w:pStyle w:val="Normal"/>
        <w:rPr>
          <w:rFonts w:ascii="Calibri" w:hAnsi="Calibri" w:asciiTheme="majorHAnsi" w:hAnsiTheme="majorHAnsi"/>
          <w:iCs/>
          <w:lang w:val="el-GR"/>
        </w:rPr>
      </w:pPr>
      <w:r>
        <w:rPr>
          <w:rFonts w:asciiTheme="majorHAnsi" w:hAnsiTheme="majorHAnsi" w:ascii="Calibri" w:hAnsi="Calibri"/>
          <w:iCs/>
          <w:lang w:val="el-GR"/>
        </w:rPr>
      </w:r>
    </w:p>
    <w:p>
      <w:pPr>
        <w:pStyle w:val="Normal"/>
        <w:rPr>
          <w:rFonts w:ascii="Calibri" w:hAnsi="Calibri" w:asciiTheme="majorHAnsi" w:hAnsiTheme="majorHAnsi"/>
          <w:iCs/>
          <w:lang w:val="el-GR"/>
        </w:rPr>
      </w:pPr>
      <w:r>
        <w:rPr>
          <w:rFonts w:ascii="Calibri" w:hAnsi="Calibri" w:asciiTheme="majorHAnsi" w:hAnsiTheme="majorHAnsi"/>
          <w:iCs/>
          <w:lang w:val="el-GR"/>
        </w:rPr>
        <w:t>Σύσταση δημόσιας εταιρείας διαχείρισής των κόκκινων δανείων με παράλληλη ρύθμιση που προβλέπει, στην περίπτωση κύριας κατοικίας, και έως ότου το κόκκινο δάνειο αναδιαρθρωθεί αποτελεσματικά (δηλαδή «κουρευτεί») το δικαίωμα της παραμονής με την καταβολή ενοικίου προς το πιστωτικό ίδρυμα το οποίο όμως θα προσδιορίζεται από τις τοπικές κοινωνίες, τους δήμους κλπ. Δραστικός περιορισμός στην πώληση των «κόκκινων» δανείων του τραπεζικού συστήματος σε κερδοσκοπικά ταμεία που έχουν έννομο, αλλά αντικοινωνικό, συμφέρον τις εξώσεις και τους πλειστηριασμούς. Κοινωνικός έλεγχος της διαδικασίας κατασχέσεων και πλειστηριασμών.</w:t>
      </w:r>
    </w:p>
    <w:p>
      <w:pPr>
        <w:pStyle w:val="Normal"/>
        <w:rPr>
          <w:rFonts w:ascii="Calibri" w:hAnsi="Calibri" w:asciiTheme="majorHAnsi" w:hAnsiTheme="majorHAnsi"/>
          <w:lang w:val="el-GR"/>
        </w:rPr>
      </w:pPr>
      <w:r>
        <w:rPr>
          <w:rFonts w:asciiTheme="majorHAnsi" w:hAnsiTheme="majorHAnsi" w:ascii="Calibri" w:hAnsi="Calibri"/>
          <w:lang w:val="el-GR"/>
        </w:rPr>
      </w:r>
    </w:p>
    <w:p>
      <w:pPr>
        <w:pStyle w:val="Normal"/>
        <w:jc w:val="center"/>
        <w:rPr>
          <w:rFonts w:ascii="Calibri" w:hAnsi="Calibri" w:asciiTheme="majorHAnsi" w:hAnsiTheme="majorHAnsi"/>
          <w:lang w:val="el-GR"/>
        </w:rPr>
      </w:pPr>
      <w:r>
        <w:rPr>
          <w:rFonts w:ascii="Calibri" w:hAnsi="Calibri" w:asciiTheme="majorHAnsi" w:hAnsiTheme="majorHAnsi"/>
          <w:lang w:val="el-GR"/>
        </w:rPr>
        <w:t xml:space="preserve">5. Επενδύσεις </w:t>
      </w:r>
    </w:p>
    <w:p>
      <w:pPr>
        <w:pStyle w:val="Normal"/>
        <w:jc w:val="center"/>
        <w:rPr>
          <w:rFonts w:ascii="Calibri" w:hAnsi="Calibri" w:asciiTheme="majorHAnsi" w:hAnsiTheme="majorHAnsi"/>
          <w:i/>
          <w:i/>
          <w:lang w:val="el-GR"/>
        </w:rPr>
      </w:pPr>
      <w:r>
        <w:rPr>
          <w:rFonts w:ascii="Calibri" w:hAnsi="Calibri" w:asciiTheme="majorHAnsi" w:hAnsiTheme="majorHAnsi"/>
          <w:i/>
          <w:lang w:val="el-GR"/>
        </w:rPr>
        <w:t xml:space="preserve">Δημόσια αναπτυξιακή τράπεζα, δημόσια περιουσία </w:t>
      </w:r>
    </w:p>
    <w:p>
      <w:pPr>
        <w:pStyle w:val="Normal"/>
        <w:jc w:val="center"/>
        <w:rPr>
          <w:rFonts w:ascii="Calibri" w:hAnsi="Calibri" w:asciiTheme="majorHAnsi" w:hAnsiTheme="majorHAnsi"/>
          <w:i/>
          <w:i/>
          <w:lang w:val="el-GR"/>
        </w:rPr>
      </w:pPr>
      <w:r>
        <w:rPr>
          <w:rFonts w:ascii="Calibri" w:hAnsi="Calibri" w:asciiTheme="majorHAnsi" w:hAnsiTheme="majorHAnsi"/>
          <w:i/>
          <w:lang w:val="el-GR"/>
        </w:rPr>
        <w:t>και ασφαλιστικά ταμεία</w:t>
      </w:r>
    </w:p>
    <w:p>
      <w:pPr>
        <w:pStyle w:val="Normal"/>
        <w:rPr>
          <w:rFonts w:ascii="Calibri" w:hAnsi="Calibri" w:asciiTheme="majorHAnsi" w:hAnsiTheme="majorHAnsi"/>
          <w:iCs/>
          <w:lang w:val="el-GR"/>
        </w:rPr>
      </w:pPr>
      <w:r>
        <w:rPr>
          <w:rFonts w:asciiTheme="majorHAnsi" w:hAnsiTheme="majorHAnsi" w:ascii="Calibri" w:hAnsi="Calibri"/>
          <w:iCs/>
          <w:lang w:val="el-GR"/>
        </w:rPr>
      </w:r>
    </w:p>
    <w:p>
      <w:pPr>
        <w:pStyle w:val="Normal"/>
        <w:rPr>
          <w:rFonts w:ascii="Calibri" w:hAnsi="Calibri" w:asciiTheme="majorHAnsi" w:hAnsiTheme="majorHAnsi"/>
          <w:iCs/>
          <w:lang w:val="el-GR"/>
        </w:rPr>
      </w:pPr>
      <w:r>
        <w:rPr>
          <w:rFonts w:ascii="Calibri" w:hAnsi="Calibri" w:asciiTheme="majorHAnsi" w:hAnsiTheme="majorHAnsi"/>
          <w:iCs/>
          <w:lang w:val="el-GR"/>
        </w:rPr>
        <w:t xml:space="preserve">Κατάργηση ΤΑΙΠΕΔ και Υπερ-Ταμείου και μετατροπή τους σε Αναπτυξιακή Τράπεζα στα πρότυπα της Γερμανικής </w:t>
      </w:r>
      <w:r>
        <w:rPr>
          <w:rFonts w:ascii="Calibri" w:hAnsi="Calibri" w:asciiTheme="majorHAnsi" w:hAnsiTheme="majorHAnsi"/>
          <w:iCs/>
        </w:rPr>
        <w:t xml:space="preserve">KfW </w:t>
      </w:r>
      <w:r>
        <w:rPr>
          <w:rFonts w:ascii="Calibri" w:hAnsi="Calibri" w:asciiTheme="majorHAnsi" w:hAnsiTheme="majorHAnsi"/>
          <w:iCs/>
          <w:lang w:val="el-GR"/>
        </w:rPr>
        <w:t xml:space="preserve">με στόχο την ενεργοποίηση δημόσιων πόρων και ανενεργών αποταμιεύσεων (εντός κι εκτός της χώρας). Η νέα τράπεζα θα αξιοποιεί την δημόσια περιουσία χρησιμοποιώντας την ως εγγύηση σε προσυμφωνημένες επενδυτικές πρωτοβουλίες και σε συνεργασία με την Ευρωπαϊκή Τράπεζα Επενδύσεων. Οι επενδύσεις αυτές θα χρησιμοποιούνται για τον εκσυγχρονισμό και την ανάπτυξη της ίδιας δημόσιας περιουσίας ώστε να αυξηθεί η χαμηλή της αξία και να αυξάνεται έτσι το κεφάλαιο της αναπτυξιακής τράπεζας. Κάποια από αυτά τα περιουσιακά στοιχεία, αφότου η αξία τους επανακάμψει ίσως ιδιωτικοποιηθούν υπό τους εξής όρους: α)  ελάχιστο όριο επενδύσεων από τον αγοραστή, β) συλλογικές συμβάσεις και κατοχυρωμένα δικαιώματα των εργαζομένων, γ) δεσμεύσεις προς όφελος των τοπικών κοινωνιών και δ) διακράτηση μερίδας μετοχών από το δημόσιο οι οποίες θα περνούν στα ασφαλιστικά ταμεία με στόχο την μόνιμη ενίσχυσή τους. </w:t>
      </w:r>
    </w:p>
    <w:p>
      <w:pPr>
        <w:pStyle w:val="Normal"/>
        <w:rPr>
          <w:rFonts w:ascii="Calibri" w:hAnsi="Calibri" w:asciiTheme="majorHAnsi" w:hAnsiTheme="majorHAnsi"/>
          <w:iCs/>
          <w:lang w:val="el-GR"/>
        </w:rPr>
      </w:pPr>
      <w:r>
        <w:rPr>
          <w:rFonts w:asciiTheme="majorHAnsi" w:hAnsiTheme="majorHAnsi" w:ascii="Calibri" w:hAnsi="Calibri"/>
          <w:iCs/>
          <w:lang w:val="el-GR"/>
        </w:rPr>
      </w:r>
    </w:p>
    <w:p>
      <w:pPr>
        <w:pStyle w:val="Normal"/>
        <w:jc w:val="center"/>
        <w:rPr>
          <w:rFonts w:ascii="Calibri" w:hAnsi="Calibri" w:asciiTheme="majorHAnsi" w:hAnsiTheme="majorHAnsi"/>
          <w:iCs/>
          <w:lang w:val="el-GR"/>
        </w:rPr>
      </w:pPr>
      <w:r>
        <w:rPr>
          <w:rFonts w:ascii="Calibri" w:hAnsi="Calibri" w:asciiTheme="majorHAnsi" w:hAnsiTheme="majorHAnsi"/>
          <w:iCs/>
          <w:lang w:val="el-GR"/>
        </w:rPr>
        <w:t>6. Σεβασμός στην μισθωτή εργασία και στην επιχειρηματικότητα</w:t>
      </w:r>
    </w:p>
    <w:p>
      <w:pPr>
        <w:pStyle w:val="Normal"/>
        <w:jc w:val="center"/>
        <w:rPr>
          <w:rFonts w:ascii="Calibri" w:hAnsi="Calibri" w:asciiTheme="majorHAnsi" w:hAnsiTheme="majorHAnsi"/>
          <w:i/>
          <w:i/>
          <w:iCs/>
          <w:lang w:val="el-GR"/>
        </w:rPr>
      </w:pPr>
      <w:r>
        <w:rPr>
          <w:rFonts w:ascii="Calibri" w:hAnsi="Calibri" w:asciiTheme="majorHAnsi" w:hAnsiTheme="majorHAnsi"/>
          <w:i/>
          <w:iCs/>
          <w:lang w:val="el-GR"/>
        </w:rPr>
        <w:t>Τέλος στο «μπλοκάκι» και το ΤΕΒΕ-ΟΑΕΕ-ΕΦΚΑ</w:t>
      </w:r>
    </w:p>
    <w:p>
      <w:pPr>
        <w:pStyle w:val="Normal"/>
        <w:rPr>
          <w:rFonts w:ascii="Calibri" w:hAnsi="Calibri" w:asciiTheme="majorHAnsi" w:hAnsiTheme="majorHAnsi"/>
          <w:iCs/>
          <w:lang w:val="el-GR"/>
        </w:rPr>
      </w:pPr>
      <w:r>
        <w:rPr>
          <w:rFonts w:asciiTheme="majorHAnsi" w:hAnsiTheme="majorHAnsi" w:ascii="Calibri" w:hAnsi="Calibri"/>
          <w:iCs/>
          <w:lang w:val="el-GR"/>
        </w:rPr>
      </w:r>
    </w:p>
    <w:p>
      <w:pPr>
        <w:pStyle w:val="Normal"/>
        <w:rPr>
          <w:rFonts w:ascii="Calibri" w:hAnsi="Calibri" w:asciiTheme="majorHAnsi" w:hAnsiTheme="majorHAnsi"/>
          <w:iCs/>
          <w:lang w:val="el-GR"/>
        </w:rPr>
      </w:pPr>
      <w:r>
        <w:rPr>
          <w:rFonts w:ascii="Calibri" w:hAnsi="Calibri" w:asciiTheme="majorHAnsi" w:hAnsiTheme="majorHAnsi"/>
          <w:iCs/>
          <w:lang w:val="el-GR"/>
        </w:rPr>
        <w:t>Η δεκαετία του 2000 θα μείνει στην ιστορία, από την μία, για την γιγάντωση μη βιώσιμων χρεών και, από την άλλη, για το ξεχαρβάλωμα της αγοράς εργασίας και την δίωξη της επιχειρηματικότητας των νέων. Το μέγα σκάνδαλο στον χώρο της ελληνικής μικρο-οικονομίας είναι το γεγονός ότι:</w:t>
      </w:r>
    </w:p>
    <w:p>
      <w:pPr>
        <w:pStyle w:val="Normal"/>
        <w:rPr>
          <w:rFonts w:ascii="Calibri" w:hAnsi="Calibri" w:asciiTheme="majorHAnsi" w:hAnsiTheme="majorHAnsi"/>
          <w:iCs/>
          <w:lang w:val="el-GR"/>
        </w:rPr>
      </w:pPr>
      <w:r>
        <w:rPr>
          <w:rFonts w:asciiTheme="majorHAnsi" w:hAnsiTheme="majorHAnsi" w:ascii="Calibri" w:hAnsi="Calibri"/>
          <w:iCs/>
          <w:lang w:val="el-GR"/>
        </w:rPr>
      </w:r>
    </w:p>
    <w:p>
      <w:pPr>
        <w:pStyle w:val="Normal"/>
        <w:rPr>
          <w:rFonts w:ascii="Calibri" w:hAnsi="Calibri" w:asciiTheme="majorHAnsi" w:hAnsiTheme="majorHAnsi"/>
          <w:iCs/>
          <w:lang w:val="el-GR"/>
        </w:rPr>
      </w:pPr>
      <w:r>
        <w:rPr>
          <w:rFonts w:ascii="Calibri" w:hAnsi="Calibri" w:asciiTheme="majorHAnsi" w:hAnsiTheme="majorHAnsi"/>
          <w:iCs/>
          <w:lang w:val="el-GR"/>
        </w:rPr>
        <w:t>(α) Χιλιάδες μισθωτοί απασχολούνται σαν να ήταν έμποροι-παροχείς υπηρεσιών, με κεφαλικό φόρο και εισφορές σε ΤΕΒΕ-ΟΑΕΕ-ΕΦΚΑ ανεξαρτήτως εισοδήματος</w:t>
      </w:r>
    </w:p>
    <w:p>
      <w:pPr>
        <w:pStyle w:val="Normal"/>
        <w:rPr>
          <w:rFonts w:ascii="Calibri" w:hAnsi="Calibri" w:asciiTheme="majorHAnsi" w:hAnsiTheme="majorHAnsi"/>
          <w:iCs/>
          <w:lang w:val="el-GR"/>
        </w:rPr>
      </w:pPr>
      <w:r>
        <w:rPr>
          <w:rFonts w:ascii="Calibri" w:hAnsi="Calibri" w:asciiTheme="majorHAnsi" w:hAnsiTheme="majorHAnsi"/>
          <w:iCs/>
          <w:lang w:val="el-GR"/>
        </w:rPr>
        <w:t>(β) Νέοι επιχειρηματίες καλούνται να καταβάλουν κεφαλικό φόρο πριν ακόμα ξεκινήσουν τις δραστηριότητες της εταιρείας τους και πριν αρχίσουν να έχουν καν έσοδα.</w:t>
      </w:r>
    </w:p>
    <w:p>
      <w:pPr>
        <w:pStyle w:val="Normal"/>
        <w:rPr>
          <w:rFonts w:ascii="Calibri" w:hAnsi="Calibri" w:asciiTheme="majorHAnsi" w:hAnsiTheme="majorHAnsi"/>
          <w:iCs/>
          <w:lang w:val="el-GR"/>
        </w:rPr>
      </w:pPr>
      <w:r>
        <w:rPr>
          <w:rFonts w:asciiTheme="majorHAnsi" w:hAnsiTheme="majorHAnsi" w:ascii="Calibri" w:hAnsi="Calibri"/>
          <w:iCs/>
          <w:lang w:val="el-GR"/>
        </w:rPr>
      </w:r>
    </w:p>
    <w:p>
      <w:pPr>
        <w:pStyle w:val="Normal"/>
        <w:rPr>
          <w:rFonts w:ascii="Calibri" w:hAnsi="Calibri" w:asciiTheme="majorHAnsi" w:hAnsiTheme="majorHAnsi"/>
          <w:iCs/>
          <w:lang w:val="el-GR"/>
        </w:rPr>
      </w:pPr>
      <w:r>
        <w:rPr>
          <w:rFonts w:ascii="Calibri" w:hAnsi="Calibri" w:asciiTheme="majorHAnsi" w:hAnsiTheme="majorHAnsi"/>
          <w:iCs/>
          <w:lang w:val="el-GR"/>
        </w:rPr>
        <w:t>Προτείνεται η υποχρεωτική ένταξη στο ΙΚΑ όσων μισθωτών απασχολούνται πάνω από 8 ώρες εβδομαδιαία και, παράλληλα, απαλλαγή από εισφορές ελευθέρων επαγγελματιών ΤΕΒΕγελμα-ΕΦΚΑ νέων επιχειρήσεων (των οποίων οι ιδρυτές δεν είχαν άλλη επιχείρηση στο παρελθόν) για πέντε έτη και εφόσον τα έσοδα δεν ξεπερνούν ένα ελάχιστο ποσό.</w:t>
      </w:r>
    </w:p>
    <w:p>
      <w:pPr>
        <w:pStyle w:val="Normal"/>
        <w:pBdr/>
        <w:rPr/>
      </w:pPr>
      <w:r>
        <w:rPr/>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85090"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4</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08.6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4df4"/>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a94df4"/>
    <w:rPr/>
  </w:style>
  <w:style w:type="character" w:styleId="Pagenumber">
    <w:name w:val="page number"/>
    <w:basedOn w:val="DefaultParagraphFont"/>
    <w:uiPriority w:val="99"/>
    <w:semiHidden/>
    <w:unhideWhenUsed/>
    <w:qFormat/>
    <w:rsid w:val="00a94df4"/>
    <w:rPr/>
  </w:style>
  <w:style w:type="character" w:styleId="BalloonTextChar" w:customStyle="1">
    <w:name w:val="Balloon Text Char"/>
    <w:basedOn w:val="DefaultParagraphFont"/>
    <w:link w:val="BalloonText"/>
    <w:uiPriority w:val="99"/>
    <w:semiHidden/>
    <w:qFormat/>
    <w:rsid w:val="00a94df4"/>
    <w:rPr>
      <w:rFonts w:ascii="Lucida Grande" w:hAnsi="Lucida Grande" w:cs="Lucida Grande"/>
      <w:sz w:val="18"/>
      <w:szCs w:val="18"/>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link w:val="FooterChar"/>
    <w:uiPriority w:val="99"/>
    <w:unhideWhenUsed/>
    <w:rsid w:val="00a94df4"/>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a94df4"/>
    <w:pPr/>
    <w:rPr>
      <w:rFonts w:ascii="Lucida Grande" w:hAnsi="Lucida Grande" w:cs="Lucida Grande"/>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LibreOffice/5.2.3.3$Windows_x86 LibreOffice_project/d54a8868f08a7b39642414cf2c8ef2f228f780cf</Application>
  <Pages>4</Pages>
  <Words>1126</Words>
  <Characters>6661</Characters>
  <CharactersWithSpaces>7772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2017-05-18T23:12:00Z</dcterms:created>
  <dc:creator>Yanis Varoufakis</dc:creator>
  <dc:description/>
  <dc:language>de-DE</dc:language>
  <cp:lastModifiedBy/>
  <dcterms:modified xsi:type="dcterms:W3CDTF">2017-05-19T11:15:00Z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